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{title}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DESCRIPTION: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FIG. 1 is a perspective view of a fancy widget showing my new design;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FIG. 2 is a front view thereof;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FIG. 3 is a rear view thereof;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FIG. 4 is a left side view thereof;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FIG. 5 is a right side view thereof;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FIG. 6 is a top view thereof;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FIG. 7 is a bottom view thereof.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The broken lines in the drawings are for illustrative purposes only and form no part of the claimed design.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CLAIM: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The ornamental design for a {title}, as shown and described.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